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 ed economato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Contrazione dei mutui non previsti espressamente in atti fondamentali del Consiglio Comunale ed emissione dei prestiti obbligazionari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Patterlini Fabio </w:t>
            </w:r>
          </w:p>
          <w:p>
            <w:pPr>
              <w:jc w:val="both"/>
            </w:pPr>
            <w:r>
              <w:rPr>
                <w:rFonts w:ascii="Times New Roman" w:hAnsi="Times New Roman"/>
                <w:sz w:val="22"/>
                <w:szCs w:val="22"/>
              </w:rPr>
              <w:t xml:space="preserve">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Contrazione dei mutui non previsti espressamente in atti fondamentali del Consiglio Comunale ed emissione dei prestiti obbligazionari.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